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A8400" w14:textId="77777777" w:rsidR="00976838" w:rsidRPr="00B24C6F" w:rsidRDefault="00976838" w:rsidP="00976838">
      <w:r>
        <w:t xml:space="preserve">Response from </w:t>
      </w:r>
      <w:proofErr w:type="spellStart"/>
      <w:r>
        <w:t>Plean</w:t>
      </w:r>
      <w:proofErr w:type="spellEnd"/>
      <w:r>
        <w:t xml:space="preserve"> Dene:</w:t>
      </w:r>
    </w:p>
    <w:tbl>
      <w:tblPr>
        <w:tblpPr w:vertAnchor="text"/>
        <w:tblW w:w="9473" w:type="dxa"/>
        <w:tblCellMar>
          <w:left w:w="0" w:type="dxa"/>
          <w:right w:w="0" w:type="dxa"/>
        </w:tblCellMar>
        <w:tblLook w:val="04A0" w:firstRow="1" w:lastRow="0" w:firstColumn="1" w:lastColumn="0" w:noHBand="0" w:noVBand="1"/>
      </w:tblPr>
      <w:tblGrid>
        <w:gridCol w:w="4736"/>
        <w:gridCol w:w="4737"/>
      </w:tblGrid>
      <w:tr w:rsidR="00976838" w:rsidRPr="00B24C6F" w14:paraId="03CC2265" w14:textId="77777777" w:rsidTr="00F3202A">
        <w:trPr>
          <w:trHeight w:val="708"/>
        </w:trPr>
        <w:tc>
          <w:tcPr>
            <w:tcW w:w="9473" w:type="dxa"/>
            <w:gridSpan w:val="2"/>
            <w:tcBorders>
              <w:top w:val="nil"/>
              <w:left w:val="nil"/>
              <w:bottom w:val="single" w:sz="8" w:space="0" w:color="000000"/>
              <w:right w:val="nil"/>
            </w:tcBorders>
            <w:shd w:val="clear" w:color="auto" w:fill="F5FAFE"/>
            <w:tcMar>
              <w:top w:w="0" w:type="dxa"/>
              <w:left w:w="115" w:type="dxa"/>
              <w:bottom w:w="0" w:type="dxa"/>
              <w:right w:w="115" w:type="dxa"/>
            </w:tcMar>
            <w:hideMark/>
          </w:tcPr>
          <w:p w14:paraId="5776CE10" w14:textId="77777777" w:rsidR="00976838" w:rsidRPr="00B24C6F" w:rsidRDefault="00976838" w:rsidP="00F3202A">
            <w:r w:rsidRPr="00B24C6F">
              <w:rPr>
                <w:b/>
                <w:bCs/>
              </w:rPr>
              <w:t>Response to recommendations</w:t>
            </w:r>
          </w:p>
        </w:tc>
      </w:tr>
      <w:tr w:rsidR="00976838" w:rsidRPr="00B24C6F" w14:paraId="37666255" w14:textId="77777777" w:rsidTr="00F3202A">
        <w:trPr>
          <w:trHeight w:val="515"/>
        </w:trPr>
        <w:tc>
          <w:tcPr>
            <w:tcW w:w="4736" w:type="dxa"/>
            <w:tcBorders>
              <w:top w:val="nil"/>
              <w:left w:val="single" w:sz="8" w:space="0" w:color="000000"/>
              <w:bottom w:val="single" w:sz="8" w:space="0" w:color="000000"/>
              <w:right w:val="single" w:sz="8" w:space="0" w:color="000000"/>
            </w:tcBorders>
            <w:shd w:val="clear" w:color="auto" w:fill="F5FAFE"/>
            <w:tcMar>
              <w:top w:w="0" w:type="dxa"/>
              <w:left w:w="115" w:type="dxa"/>
              <w:bottom w:w="0" w:type="dxa"/>
              <w:right w:w="115" w:type="dxa"/>
            </w:tcMar>
            <w:hideMark/>
          </w:tcPr>
          <w:p w14:paraId="4950235B" w14:textId="77777777" w:rsidR="00976838" w:rsidRPr="00B24C6F" w:rsidRDefault="00976838" w:rsidP="00F3202A">
            <w:pPr>
              <w:numPr>
                <w:ilvl w:val="0"/>
                <w:numId w:val="1"/>
              </w:numPr>
            </w:pPr>
            <w:r w:rsidRPr="00B24C6F">
              <w:t>Ensure that all people at the home with mobility issues, are regularly assessed with regards to their need for moving and positioning equipment and staff are supported in their use.</w:t>
            </w:r>
          </w:p>
        </w:tc>
        <w:tc>
          <w:tcPr>
            <w:tcW w:w="4737" w:type="dxa"/>
            <w:tcBorders>
              <w:top w:val="nil"/>
              <w:left w:val="nil"/>
              <w:bottom w:val="single" w:sz="8" w:space="0" w:color="000000"/>
              <w:right w:val="single" w:sz="8" w:space="0" w:color="000000"/>
            </w:tcBorders>
            <w:shd w:val="clear" w:color="auto" w:fill="F5FAFE"/>
            <w:tcMar>
              <w:top w:w="0" w:type="dxa"/>
              <w:left w:w="115" w:type="dxa"/>
              <w:bottom w:w="0" w:type="dxa"/>
              <w:right w:w="115" w:type="dxa"/>
            </w:tcMar>
            <w:hideMark/>
          </w:tcPr>
          <w:p w14:paraId="22692969" w14:textId="77777777" w:rsidR="00976838" w:rsidRPr="00B24C6F" w:rsidRDefault="00976838" w:rsidP="00F3202A">
            <w:r w:rsidRPr="00B24C6F">
              <w:t xml:space="preserve">There is a dedicated moving and handling trainer at the home who reviews peoples plans and supports the team with safe moving and handling. </w:t>
            </w:r>
            <w:proofErr w:type="gramStart"/>
            <w:r w:rsidRPr="00B24C6F">
              <w:t>In order to</w:t>
            </w:r>
            <w:proofErr w:type="gramEnd"/>
            <w:r w:rsidRPr="00B24C6F">
              <w:t xml:space="preserve"> ensure practice is current and in line with best practice, the support of a Physiotherapist has been requested to jointly review the moving and handling provided to one person living at the home where errors have been observed. This occurred on 24</w:t>
            </w:r>
            <w:r w:rsidRPr="00B24C6F">
              <w:rPr>
                <w:vertAlign w:val="superscript"/>
              </w:rPr>
              <w:t>th</w:t>
            </w:r>
            <w:r w:rsidRPr="00B24C6F">
              <w:t xml:space="preserve"> June 25 and issues discussed and Staff were given best practice regards Moving people safely and they have proposed we contact NHS OT for extra support to assess if individual may need other equipment.</w:t>
            </w:r>
          </w:p>
        </w:tc>
      </w:tr>
      <w:tr w:rsidR="00976838" w:rsidRPr="00B24C6F" w14:paraId="6BE36FCF" w14:textId="77777777" w:rsidTr="00F3202A">
        <w:trPr>
          <w:trHeight w:val="515"/>
        </w:trPr>
        <w:tc>
          <w:tcPr>
            <w:tcW w:w="4736" w:type="dxa"/>
            <w:tcBorders>
              <w:top w:val="nil"/>
              <w:left w:val="single" w:sz="8" w:space="0" w:color="000000"/>
              <w:bottom w:val="single" w:sz="8" w:space="0" w:color="000000"/>
              <w:right w:val="single" w:sz="8" w:space="0" w:color="000000"/>
            </w:tcBorders>
            <w:shd w:val="clear" w:color="auto" w:fill="F5FAFE"/>
            <w:tcMar>
              <w:top w:w="0" w:type="dxa"/>
              <w:left w:w="115" w:type="dxa"/>
              <w:bottom w:w="0" w:type="dxa"/>
              <w:right w:w="115" w:type="dxa"/>
            </w:tcMar>
            <w:hideMark/>
          </w:tcPr>
          <w:p w14:paraId="6DD731C4" w14:textId="77777777" w:rsidR="00976838" w:rsidRPr="00B24C6F" w:rsidRDefault="00976838" w:rsidP="00F3202A">
            <w:r w:rsidRPr="00B24C6F">
              <w:t>2. Ensure that there is a programme of redecoration for the home, to include paintwork and doors in communal areas. (The manager informed us that Southern Housing own the building and are responsible for maintenance of the home).</w:t>
            </w:r>
          </w:p>
        </w:tc>
        <w:tc>
          <w:tcPr>
            <w:tcW w:w="4737" w:type="dxa"/>
            <w:tcBorders>
              <w:top w:val="nil"/>
              <w:left w:val="nil"/>
              <w:bottom w:val="single" w:sz="8" w:space="0" w:color="000000"/>
              <w:right w:val="single" w:sz="8" w:space="0" w:color="000000"/>
            </w:tcBorders>
            <w:shd w:val="clear" w:color="auto" w:fill="F5FAFE"/>
            <w:tcMar>
              <w:top w:w="0" w:type="dxa"/>
              <w:left w:w="115" w:type="dxa"/>
              <w:bottom w:w="0" w:type="dxa"/>
              <w:right w:w="115" w:type="dxa"/>
            </w:tcMar>
            <w:hideMark/>
          </w:tcPr>
          <w:p w14:paraId="739D12B4" w14:textId="77777777" w:rsidR="00976838" w:rsidRPr="00B24C6F" w:rsidRDefault="00976838" w:rsidP="00F3202A">
            <w:r w:rsidRPr="00B24C6F">
              <w:t>This action is on the workplan for Southern Housing to complete this financial year – no date has been confirmed yet.</w:t>
            </w:r>
          </w:p>
        </w:tc>
      </w:tr>
      <w:tr w:rsidR="00976838" w:rsidRPr="00B24C6F" w14:paraId="4E4C21CD" w14:textId="77777777" w:rsidTr="00F3202A">
        <w:trPr>
          <w:trHeight w:val="680"/>
        </w:trPr>
        <w:tc>
          <w:tcPr>
            <w:tcW w:w="4736" w:type="dxa"/>
            <w:tcBorders>
              <w:top w:val="nil"/>
              <w:left w:val="single" w:sz="8" w:space="0" w:color="000000"/>
              <w:bottom w:val="single" w:sz="8" w:space="0" w:color="000000"/>
              <w:right w:val="single" w:sz="8" w:space="0" w:color="000000"/>
            </w:tcBorders>
            <w:shd w:val="clear" w:color="auto" w:fill="F5FAFE"/>
            <w:tcMar>
              <w:top w:w="0" w:type="dxa"/>
              <w:left w:w="115" w:type="dxa"/>
              <w:bottom w:w="0" w:type="dxa"/>
              <w:right w:w="115" w:type="dxa"/>
            </w:tcMar>
            <w:hideMark/>
          </w:tcPr>
          <w:p w14:paraId="0F45521C" w14:textId="77777777" w:rsidR="00976838" w:rsidRPr="00B24C6F" w:rsidRDefault="00976838" w:rsidP="00F3202A">
            <w:r w:rsidRPr="00B24C6F">
              <w:t>3. Ensure that the tumble drier is repaired or replaced without delay.</w:t>
            </w:r>
          </w:p>
        </w:tc>
        <w:tc>
          <w:tcPr>
            <w:tcW w:w="4737" w:type="dxa"/>
            <w:tcBorders>
              <w:top w:val="nil"/>
              <w:left w:val="nil"/>
              <w:bottom w:val="single" w:sz="8" w:space="0" w:color="000000"/>
              <w:right w:val="single" w:sz="8" w:space="0" w:color="000000"/>
            </w:tcBorders>
            <w:shd w:val="clear" w:color="auto" w:fill="F5FAFE"/>
            <w:tcMar>
              <w:top w:w="0" w:type="dxa"/>
              <w:left w:w="115" w:type="dxa"/>
              <w:bottom w:w="0" w:type="dxa"/>
              <w:right w:w="115" w:type="dxa"/>
            </w:tcMar>
            <w:hideMark/>
          </w:tcPr>
          <w:p w14:paraId="716BC407" w14:textId="77777777" w:rsidR="00976838" w:rsidRPr="00B24C6F" w:rsidRDefault="00976838" w:rsidP="00F3202A">
            <w:r w:rsidRPr="00B24C6F">
              <w:t>A replacement of a new gas commercial tumble dryer which had been ordered prior to visit and has now been installed as of</w:t>
            </w:r>
          </w:p>
        </w:tc>
      </w:tr>
      <w:tr w:rsidR="00976838" w:rsidRPr="00B24C6F" w14:paraId="4C1C275E" w14:textId="77777777" w:rsidTr="00F3202A">
        <w:trPr>
          <w:trHeight w:val="680"/>
        </w:trPr>
        <w:tc>
          <w:tcPr>
            <w:tcW w:w="4736" w:type="dxa"/>
            <w:tcBorders>
              <w:top w:val="nil"/>
              <w:left w:val="single" w:sz="8" w:space="0" w:color="000000"/>
              <w:bottom w:val="single" w:sz="8" w:space="0" w:color="000000"/>
              <w:right w:val="single" w:sz="8" w:space="0" w:color="000000"/>
            </w:tcBorders>
            <w:shd w:val="clear" w:color="auto" w:fill="F5FAFE"/>
            <w:tcMar>
              <w:top w:w="0" w:type="dxa"/>
              <w:left w:w="115" w:type="dxa"/>
              <w:bottom w:w="0" w:type="dxa"/>
              <w:right w:w="115" w:type="dxa"/>
            </w:tcMar>
            <w:hideMark/>
          </w:tcPr>
          <w:p w14:paraId="59B9869E" w14:textId="77777777" w:rsidR="00976838" w:rsidRPr="00B24C6F" w:rsidRDefault="00976838" w:rsidP="00F3202A">
            <w:r w:rsidRPr="00B24C6F">
              <w:t>4. Avoid using plastic aprons where possible, when protecting people’s clothing.</w:t>
            </w:r>
          </w:p>
        </w:tc>
        <w:tc>
          <w:tcPr>
            <w:tcW w:w="4737" w:type="dxa"/>
            <w:tcBorders>
              <w:top w:val="nil"/>
              <w:left w:val="nil"/>
              <w:bottom w:val="single" w:sz="8" w:space="0" w:color="000000"/>
              <w:right w:val="single" w:sz="8" w:space="0" w:color="000000"/>
            </w:tcBorders>
            <w:shd w:val="clear" w:color="auto" w:fill="F5FAFE"/>
            <w:tcMar>
              <w:top w:w="0" w:type="dxa"/>
              <w:left w:w="115" w:type="dxa"/>
              <w:bottom w:w="0" w:type="dxa"/>
              <w:right w:w="115" w:type="dxa"/>
            </w:tcMar>
            <w:hideMark/>
          </w:tcPr>
          <w:p w14:paraId="3D6E50BD" w14:textId="77777777" w:rsidR="00976838" w:rsidRPr="00B24C6F" w:rsidRDefault="00976838" w:rsidP="00F3202A">
            <w:r w:rsidRPr="00B24C6F">
              <w:t xml:space="preserve">This was a temporary solution whilst the laundry facilities are improved. </w:t>
            </w:r>
            <w:proofErr w:type="gramStart"/>
            <w:r w:rsidRPr="00B24C6F">
              <w:t>Plus</w:t>
            </w:r>
            <w:proofErr w:type="gramEnd"/>
            <w:r w:rsidRPr="00B24C6F">
              <w:t xml:space="preserve"> on day of visit it was </w:t>
            </w:r>
            <w:proofErr w:type="gramStart"/>
            <w:r w:rsidRPr="00B24C6F">
              <w:t>raining</w:t>
            </w:r>
            <w:proofErr w:type="gramEnd"/>
            <w:r w:rsidRPr="00B24C6F">
              <w:t xml:space="preserve"> and we did not have provision to dry personal aprons, this has now been addressed as people now have extra aprons, also there is one person (Autistic) who at times will choose to wear one.</w:t>
            </w:r>
          </w:p>
        </w:tc>
      </w:tr>
      <w:tr w:rsidR="00976838" w:rsidRPr="00B24C6F" w14:paraId="1D6E10FF" w14:textId="77777777" w:rsidTr="00F3202A">
        <w:trPr>
          <w:trHeight w:val="680"/>
        </w:trPr>
        <w:tc>
          <w:tcPr>
            <w:tcW w:w="4736" w:type="dxa"/>
            <w:tcBorders>
              <w:top w:val="nil"/>
              <w:left w:val="single" w:sz="8" w:space="0" w:color="000000"/>
              <w:bottom w:val="single" w:sz="8" w:space="0" w:color="000000"/>
              <w:right w:val="single" w:sz="8" w:space="0" w:color="000000"/>
            </w:tcBorders>
            <w:shd w:val="clear" w:color="auto" w:fill="F5FAFE"/>
            <w:tcMar>
              <w:top w:w="0" w:type="dxa"/>
              <w:left w:w="115" w:type="dxa"/>
              <w:bottom w:w="0" w:type="dxa"/>
              <w:right w:w="115" w:type="dxa"/>
            </w:tcMar>
            <w:hideMark/>
          </w:tcPr>
          <w:p w14:paraId="6F1F30A4" w14:textId="77777777" w:rsidR="00976838" w:rsidRPr="00B24C6F" w:rsidRDefault="00976838" w:rsidP="00F3202A">
            <w:r w:rsidRPr="00B24C6F">
              <w:t>5. Staff to ensure that meals are covered when transporting them</w:t>
            </w:r>
          </w:p>
        </w:tc>
        <w:tc>
          <w:tcPr>
            <w:tcW w:w="4737" w:type="dxa"/>
            <w:tcBorders>
              <w:top w:val="nil"/>
              <w:left w:val="nil"/>
              <w:bottom w:val="single" w:sz="8" w:space="0" w:color="000000"/>
              <w:right w:val="single" w:sz="8" w:space="0" w:color="000000"/>
            </w:tcBorders>
            <w:shd w:val="clear" w:color="auto" w:fill="F5FAFE"/>
            <w:tcMar>
              <w:top w:w="0" w:type="dxa"/>
              <w:left w:w="115" w:type="dxa"/>
              <w:bottom w:w="0" w:type="dxa"/>
              <w:right w:w="115" w:type="dxa"/>
            </w:tcMar>
            <w:hideMark/>
          </w:tcPr>
          <w:p w14:paraId="1A99E836" w14:textId="77777777" w:rsidR="00976838" w:rsidRPr="00B24C6F" w:rsidRDefault="00976838" w:rsidP="00F3202A">
            <w:r w:rsidRPr="00B24C6F">
              <w:t>This practice has now commenced as covers have been purchased</w:t>
            </w:r>
          </w:p>
        </w:tc>
      </w:tr>
      <w:tr w:rsidR="00976838" w:rsidRPr="00B24C6F" w14:paraId="1969F0D9" w14:textId="77777777" w:rsidTr="00F3202A">
        <w:trPr>
          <w:trHeight w:val="680"/>
        </w:trPr>
        <w:tc>
          <w:tcPr>
            <w:tcW w:w="4736" w:type="dxa"/>
            <w:tcBorders>
              <w:top w:val="nil"/>
              <w:left w:val="single" w:sz="8" w:space="0" w:color="000000"/>
              <w:bottom w:val="single" w:sz="8" w:space="0" w:color="000000"/>
              <w:right w:val="single" w:sz="8" w:space="0" w:color="000000"/>
            </w:tcBorders>
            <w:shd w:val="clear" w:color="auto" w:fill="F5FAFE"/>
            <w:tcMar>
              <w:top w:w="0" w:type="dxa"/>
              <w:left w:w="115" w:type="dxa"/>
              <w:bottom w:w="0" w:type="dxa"/>
              <w:right w:w="115" w:type="dxa"/>
            </w:tcMar>
            <w:hideMark/>
          </w:tcPr>
          <w:p w14:paraId="228ED504" w14:textId="77777777" w:rsidR="00976838" w:rsidRPr="00B24C6F" w:rsidRDefault="00976838" w:rsidP="00F3202A">
            <w:r w:rsidRPr="00B24C6F">
              <w:t xml:space="preserve">6. Staff to serve gravy separately and offer salt, pepper and sauces at </w:t>
            </w:r>
            <w:proofErr w:type="gramStart"/>
            <w:r w:rsidRPr="00B24C6F">
              <w:t>mealtimes..</w:t>
            </w:r>
            <w:proofErr w:type="gramEnd"/>
          </w:p>
        </w:tc>
        <w:tc>
          <w:tcPr>
            <w:tcW w:w="4737" w:type="dxa"/>
            <w:tcBorders>
              <w:top w:val="nil"/>
              <w:left w:val="nil"/>
              <w:bottom w:val="single" w:sz="8" w:space="0" w:color="000000"/>
              <w:right w:val="single" w:sz="8" w:space="0" w:color="000000"/>
            </w:tcBorders>
            <w:shd w:val="clear" w:color="auto" w:fill="F5FAFE"/>
            <w:tcMar>
              <w:top w:w="0" w:type="dxa"/>
              <w:left w:w="115" w:type="dxa"/>
              <w:bottom w:w="0" w:type="dxa"/>
              <w:right w:w="115" w:type="dxa"/>
            </w:tcMar>
            <w:hideMark/>
          </w:tcPr>
          <w:p w14:paraId="5C8EADC7" w14:textId="77777777" w:rsidR="00976838" w:rsidRPr="00B24C6F" w:rsidRDefault="00976838" w:rsidP="00F3202A">
            <w:r w:rsidRPr="00B24C6F">
              <w:t>We have trailed the use of a jug for gravy and the results were positive.</w:t>
            </w:r>
          </w:p>
          <w:p w14:paraId="68AD9564" w14:textId="77777777" w:rsidR="00976838" w:rsidRPr="00B24C6F" w:rsidRDefault="00976838" w:rsidP="00F3202A">
            <w:proofErr w:type="gramStart"/>
            <w:r w:rsidRPr="00B24C6F">
              <w:t>,We</w:t>
            </w:r>
            <w:proofErr w:type="gramEnd"/>
            <w:r w:rsidRPr="00B24C6F">
              <w:t xml:space="preserve"> are reviewing whether salt and pepper being available in the dining area is useful. We avoid putting this on tables due to inappropriate use from some people. </w:t>
            </w:r>
          </w:p>
          <w:p w14:paraId="6648FEF5" w14:textId="77777777" w:rsidR="00976838" w:rsidRPr="00B24C6F" w:rsidRDefault="00976838" w:rsidP="00F3202A">
            <w:r w:rsidRPr="00B24C6F">
              <w:lastRenderedPageBreak/>
              <w:t>Rather than Cruets we have bought individual Sachets of Salt &amp; Pepper so people can be supported to use and reduces the risk of Cruets being brokens, we have also added individual Tomato sauce sachets</w:t>
            </w:r>
          </w:p>
        </w:tc>
      </w:tr>
      <w:tr w:rsidR="00976838" w:rsidRPr="00B24C6F" w14:paraId="318FE42E" w14:textId="77777777" w:rsidTr="00F3202A">
        <w:trPr>
          <w:trHeight w:val="680"/>
        </w:trPr>
        <w:tc>
          <w:tcPr>
            <w:tcW w:w="4736" w:type="dxa"/>
            <w:tcBorders>
              <w:top w:val="nil"/>
              <w:left w:val="single" w:sz="8" w:space="0" w:color="000000"/>
              <w:bottom w:val="single" w:sz="8" w:space="0" w:color="000000"/>
              <w:right w:val="single" w:sz="8" w:space="0" w:color="000000"/>
            </w:tcBorders>
            <w:shd w:val="clear" w:color="auto" w:fill="F5FAFE"/>
            <w:tcMar>
              <w:top w:w="0" w:type="dxa"/>
              <w:left w:w="115" w:type="dxa"/>
              <w:bottom w:w="0" w:type="dxa"/>
              <w:right w:w="115" w:type="dxa"/>
            </w:tcMar>
            <w:hideMark/>
          </w:tcPr>
          <w:p w14:paraId="10496145" w14:textId="77777777" w:rsidR="00976838" w:rsidRPr="00B24C6F" w:rsidRDefault="00976838" w:rsidP="00F3202A">
            <w:r w:rsidRPr="00B24C6F">
              <w:lastRenderedPageBreak/>
              <w:t xml:space="preserve">7. Ensure there </w:t>
            </w:r>
            <w:proofErr w:type="gramStart"/>
            <w:r w:rsidRPr="00B24C6F">
              <w:t>are sufficient staff on duty at all times</w:t>
            </w:r>
            <w:proofErr w:type="gramEnd"/>
            <w:r w:rsidRPr="00B24C6F">
              <w:t>.</w:t>
            </w:r>
          </w:p>
        </w:tc>
        <w:tc>
          <w:tcPr>
            <w:tcW w:w="4737" w:type="dxa"/>
            <w:tcBorders>
              <w:top w:val="nil"/>
              <w:left w:val="nil"/>
              <w:bottom w:val="single" w:sz="8" w:space="0" w:color="000000"/>
              <w:right w:val="single" w:sz="8" w:space="0" w:color="000000"/>
            </w:tcBorders>
            <w:shd w:val="clear" w:color="auto" w:fill="F5FAFE"/>
            <w:tcMar>
              <w:top w:w="0" w:type="dxa"/>
              <w:left w:w="115" w:type="dxa"/>
              <w:bottom w:w="0" w:type="dxa"/>
              <w:right w:w="115" w:type="dxa"/>
            </w:tcMar>
            <w:hideMark/>
          </w:tcPr>
          <w:p w14:paraId="6A253C87" w14:textId="77777777" w:rsidR="00976838" w:rsidRPr="00B24C6F" w:rsidRDefault="00976838" w:rsidP="00F3202A">
            <w:r w:rsidRPr="00B24C6F">
              <w:t xml:space="preserve">unplanned absence on the day of the visit left the kitchen role vacant for the shift This was an unexpected event. We are </w:t>
            </w:r>
            <w:proofErr w:type="gramStart"/>
            <w:r w:rsidRPr="00B24C6F">
              <w:t>undertook</w:t>
            </w:r>
            <w:proofErr w:type="gramEnd"/>
            <w:r w:rsidRPr="00B24C6F">
              <w:t xml:space="preserve"> a full dependency screening exercise on the 01 </w:t>
            </w:r>
            <w:proofErr w:type="gramStart"/>
            <w:r w:rsidRPr="00B24C6F">
              <w:t>July  25</w:t>
            </w:r>
            <w:proofErr w:type="gramEnd"/>
            <w:r w:rsidRPr="00B24C6F">
              <w:t xml:space="preserve"> to confirm our staff numbers are appropriate and we </w:t>
            </w:r>
            <w:proofErr w:type="spellStart"/>
            <w:r w:rsidRPr="00B24C6F">
              <w:t>can not</w:t>
            </w:r>
            <w:proofErr w:type="spellEnd"/>
            <w:r w:rsidRPr="00B24C6F">
              <w:t xml:space="preserve"> </w:t>
            </w:r>
            <w:proofErr w:type="spellStart"/>
            <w:r w:rsidRPr="00B24C6F">
              <w:t>forsee</w:t>
            </w:r>
            <w:proofErr w:type="spellEnd"/>
            <w:r w:rsidRPr="00B24C6F">
              <w:t xml:space="preserve"> unplanned absences</w:t>
            </w:r>
          </w:p>
        </w:tc>
      </w:tr>
    </w:tbl>
    <w:p w14:paraId="10E2FBAF" w14:textId="77777777" w:rsidR="00B24C6F" w:rsidRPr="004477ED" w:rsidRDefault="00B24C6F" w:rsidP="004477ED"/>
    <w:sectPr w:rsidR="00B24C6F" w:rsidRPr="00447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952AC"/>
    <w:multiLevelType w:val="multilevel"/>
    <w:tmpl w:val="A78C3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B12376A"/>
    <w:multiLevelType w:val="multilevel"/>
    <w:tmpl w:val="3BAC9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066AB"/>
    <w:multiLevelType w:val="hybridMultilevel"/>
    <w:tmpl w:val="D90AFF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2CC591A"/>
    <w:multiLevelType w:val="multilevel"/>
    <w:tmpl w:val="E6803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0770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1167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4645648">
    <w:abstractNumId w:val="1"/>
  </w:num>
  <w:num w:numId="4" w16cid:durableId="31686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6F"/>
    <w:rsid w:val="004477ED"/>
    <w:rsid w:val="0064384F"/>
    <w:rsid w:val="007756FC"/>
    <w:rsid w:val="008F5879"/>
    <w:rsid w:val="00976838"/>
    <w:rsid w:val="00A301A3"/>
    <w:rsid w:val="00B03B9B"/>
    <w:rsid w:val="00B24C6F"/>
    <w:rsid w:val="00B936F5"/>
    <w:rsid w:val="00C1071A"/>
    <w:rsid w:val="00CC5228"/>
    <w:rsid w:val="00F47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2C0E"/>
  <w15:chartTrackingRefBased/>
  <w15:docId w15:val="{F65336D3-EB8D-41CC-B426-15512D81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838"/>
  </w:style>
  <w:style w:type="paragraph" w:styleId="Heading1">
    <w:name w:val="heading 1"/>
    <w:basedOn w:val="Normal"/>
    <w:next w:val="Normal"/>
    <w:link w:val="Heading1Char"/>
    <w:uiPriority w:val="9"/>
    <w:qFormat/>
    <w:rsid w:val="00B24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C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C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C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C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C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C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C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C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C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C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C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C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C6F"/>
    <w:rPr>
      <w:rFonts w:eastAsiaTheme="majorEastAsia" w:cstheme="majorBidi"/>
      <w:color w:val="272727" w:themeColor="text1" w:themeTint="D8"/>
    </w:rPr>
  </w:style>
  <w:style w:type="paragraph" w:styleId="Title">
    <w:name w:val="Title"/>
    <w:basedOn w:val="Normal"/>
    <w:next w:val="Normal"/>
    <w:link w:val="TitleChar"/>
    <w:uiPriority w:val="10"/>
    <w:qFormat/>
    <w:rsid w:val="00B24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C6F"/>
    <w:pPr>
      <w:spacing w:before="160"/>
      <w:jc w:val="center"/>
    </w:pPr>
    <w:rPr>
      <w:i/>
      <w:iCs/>
      <w:color w:val="404040" w:themeColor="text1" w:themeTint="BF"/>
    </w:rPr>
  </w:style>
  <w:style w:type="character" w:customStyle="1" w:styleId="QuoteChar">
    <w:name w:val="Quote Char"/>
    <w:basedOn w:val="DefaultParagraphFont"/>
    <w:link w:val="Quote"/>
    <w:uiPriority w:val="29"/>
    <w:rsid w:val="00B24C6F"/>
    <w:rPr>
      <w:i/>
      <w:iCs/>
      <w:color w:val="404040" w:themeColor="text1" w:themeTint="BF"/>
    </w:rPr>
  </w:style>
  <w:style w:type="paragraph" w:styleId="ListParagraph">
    <w:name w:val="List Paragraph"/>
    <w:basedOn w:val="Normal"/>
    <w:uiPriority w:val="34"/>
    <w:qFormat/>
    <w:rsid w:val="00B24C6F"/>
    <w:pPr>
      <w:ind w:left="720"/>
      <w:contextualSpacing/>
    </w:pPr>
  </w:style>
  <w:style w:type="character" w:styleId="IntenseEmphasis">
    <w:name w:val="Intense Emphasis"/>
    <w:basedOn w:val="DefaultParagraphFont"/>
    <w:uiPriority w:val="21"/>
    <w:qFormat/>
    <w:rsid w:val="00B24C6F"/>
    <w:rPr>
      <w:i/>
      <w:iCs/>
      <w:color w:val="0F4761" w:themeColor="accent1" w:themeShade="BF"/>
    </w:rPr>
  </w:style>
  <w:style w:type="paragraph" w:styleId="IntenseQuote">
    <w:name w:val="Intense Quote"/>
    <w:basedOn w:val="Normal"/>
    <w:next w:val="Normal"/>
    <w:link w:val="IntenseQuoteChar"/>
    <w:uiPriority w:val="30"/>
    <w:qFormat/>
    <w:rsid w:val="00B24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C6F"/>
    <w:rPr>
      <w:i/>
      <w:iCs/>
      <w:color w:val="0F4761" w:themeColor="accent1" w:themeShade="BF"/>
    </w:rPr>
  </w:style>
  <w:style w:type="character" w:styleId="IntenseReference">
    <w:name w:val="Intense Reference"/>
    <w:basedOn w:val="DefaultParagraphFont"/>
    <w:uiPriority w:val="32"/>
    <w:qFormat/>
    <w:rsid w:val="00B24C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Smith</dc:creator>
  <cp:keywords/>
  <dc:description/>
  <cp:lastModifiedBy>Nikki Stewart</cp:lastModifiedBy>
  <cp:revision>4</cp:revision>
  <dcterms:created xsi:type="dcterms:W3CDTF">2025-08-05T11:56:00Z</dcterms:created>
  <dcterms:modified xsi:type="dcterms:W3CDTF">2025-08-05T11:58:00Z</dcterms:modified>
</cp:coreProperties>
</file>